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C9" w:rsidRPr="00177B08" w:rsidRDefault="00CD7DC9" w:rsidP="00CD7DC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R0210.1.26.2025</w:t>
      </w:r>
    </w:p>
    <w:p w:rsidR="00CD7DC9" w:rsidRPr="00177B08" w:rsidRDefault="00CD7DC9" w:rsidP="00CD7DC9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 w:rsidR="00CD7DC9" w:rsidRPr="00177B08" w:rsidRDefault="00CD7DC9" w:rsidP="00CD7DC9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 w:rsidR="00CD7DC9" w:rsidRPr="00177B08" w:rsidRDefault="00CD7DC9" w:rsidP="00CD7DC9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o szkolnictwie wyższym i nauce (Dz. U. z 2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024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 r. poz. 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 xml:space="preserve">z </w:t>
      </w:r>
      <w:proofErr w:type="spellStart"/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. zm.). W przypadku braku osiągnięć należy wpisać „nie dotyczy”.</w:t>
      </w:r>
    </w:p>
    <w:p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</w:t>
      </w:r>
      <w:r w:rsidR="0038607F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pkt. II.9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punktacji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Impact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Factor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(w dziedzinach i dyscyplinach, w których parametr ten jest powszechnie używany jako wskaźnik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naukometryczny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)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liczbie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cytowań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publikacji wnioskodawcy, z oddzielnym uwzględnieniem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autocytowań</w:t>
      </w:r>
      <w:proofErr w:type="spellEnd"/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liczbie punktów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:rsidR="00CD7DC9" w:rsidRPr="00177B08" w:rsidRDefault="00CD7DC9" w:rsidP="00CD7DC9"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</w:t>
      </w:r>
      <w:r w:rsidR="0038607F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dyscypliny naukowej.</w:t>
      </w:r>
    </w:p>
    <w:p w:rsidR="00CD7DC9" w:rsidRPr="00177B08" w:rsidRDefault="00CD7DC9" w:rsidP="00CD7DC9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  <w:br w:type="page"/>
      </w:r>
    </w:p>
    <w:p w:rsidR="00CD7DC9" w:rsidRPr="00177B08" w:rsidRDefault="00CD7DC9" w:rsidP="00CD7DC9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lastRenderedPageBreak/>
        <w:t>Wykaz osiągnięć dydaktycznych wpływających na rozwój dydaktyczny szkoły wyższej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osiągnięć w kształceniu doktorantów 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 w:rsidRPr="00177B08">
        <w:rPr>
          <w:rFonts w:asciiTheme="minorHAnsi" w:hAnsiTheme="minorHAnsi" w:cstheme="minorHAnsi"/>
          <w:sz w:val="24"/>
          <w:szCs w:val="24"/>
        </w:rPr>
        <w:t>mających znaczenie w dydaktyce szkoły wyższej w</w:t>
      </w:r>
      <w:r w:rsidR="0038607F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zakresie kierunku, na którym kandydat będzie prowadził zajęcia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 w:rsidR="00CD7DC9" w:rsidRPr="00177B08" w:rsidRDefault="00CD7DC9" w:rsidP="00CD7DC9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 w:rsidR="00CD7DC9" w:rsidRPr="00177B08" w:rsidRDefault="00CD7DC9" w:rsidP="00CD7DC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C44084" w:rsidRPr="00CD7DC9" w:rsidRDefault="00CD7DC9" w:rsidP="00CD7DC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</w:p>
    <w:sectPr w:rsidR="00C44084" w:rsidRPr="00CD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C9"/>
    <w:rsid w:val="0038607F"/>
    <w:rsid w:val="00C44084"/>
    <w:rsid w:val="00C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579"/>
  <w15:chartTrackingRefBased/>
  <w15:docId w15:val="{1BF05DBA-61B1-47DE-A0AD-1C3F0E0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D7D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D7D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D7DC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DC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D7DC9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D7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2025-03-14T08:06:00Z</dcterms:created>
  <dcterms:modified xsi:type="dcterms:W3CDTF">2025-03-14T08:26:00Z</dcterms:modified>
</cp:coreProperties>
</file>